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A1" w:rsidRPr="00235276" w:rsidRDefault="0024747C" w:rsidP="00235276">
      <w:pPr>
        <w:pStyle w:val="Heading2"/>
        <w:ind w:left="181"/>
        <w:jc w:val="left"/>
        <w:rPr>
          <w:rFonts w:ascii="Calibri" w:hAnsi="Calibri" w:cs="Arial"/>
          <w:b/>
          <w:bCs/>
          <w:sz w:val="40"/>
          <w:szCs w:val="40"/>
          <w:lang w:eastAsia="zh-CN"/>
        </w:rPr>
      </w:pPr>
      <w:bookmarkStart w:id="0" w:name="_GoBack"/>
      <w:bookmarkEnd w:id="0"/>
      <w:r>
        <w:rPr>
          <w:rFonts w:ascii="Calibri" w:hAnsi="Calibri" w:cs="Arial"/>
          <w:b/>
          <w:bCs/>
          <w:noProof/>
          <w:sz w:val="40"/>
          <w:szCs w:val="40"/>
          <w:lang w:val="en-AU" w:eastAsia="zh-TW"/>
        </w:rPr>
        <w:drawing>
          <wp:inline distT="0" distB="0" distL="0" distR="0" wp14:anchorId="0ABAE7A6" wp14:editId="3F557E7B">
            <wp:extent cx="5731510" cy="25761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on 2020 banner 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566">
        <w:rPr>
          <w:rFonts w:ascii="Calibri" w:hAnsi="Calibri" w:cs="Arial"/>
          <w:b/>
          <w:bCs/>
          <w:sz w:val="40"/>
          <w:szCs w:val="40"/>
        </w:rPr>
        <w:t xml:space="preserve"> </w:t>
      </w:r>
    </w:p>
    <w:p w:rsidR="0024747C" w:rsidRDefault="0024747C" w:rsidP="0024747C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Date Claimer</w:t>
      </w:r>
    </w:p>
    <w:p w:rsidR="004177A1" w:rsidRPr="004B7A66" w:rsidRDefault="00A85E69" w:rsidP="00235276">
      <w:pPr>
        <w:jc w:val="center"/>
        <w:rPr>
          <w:rFonts w:asciiTheme="minorHAnsi" w:hAnsiTheme="minorHAnsi"/>
          <w:b/>
          <w:i/>
          <w:color w:val="CC3300"/>
          <w:sz w:val="40"/>
          <w:szCs w:val="40"/>
        </w:rPr>
      </w:pPr>
      <w:r>
        <w:rPr>
          <w:rFonts w:asciiTheme="minorHAnsi" w:hAnsiTheme="minorHAnsi"/>
          <w:b/>
          <w:color w:val="CC3300"/>
          <w:sz w:val="40"/>
          <w:szCs w:val="40"/>
        </w:rPr>
        <w:t>Master Class 1</w:t>
      </w:r>
      <w:r w:rsidR="001C144B">
        <w:rPr>
          <w:rFonts w:asciiTheme="minorHAnsi" w:hAnsiTheme="minorHAnsi"/>
          <w:b/>
          <w:color w:val="CC3300"/>
          <w:sz w:val="40"/>
          <w:szCs w:val="40"/>
        </w:rPr>
        <w:t>: Unit 3</w:t>
      </w:r>
    </w:p>
    <w:p w:rsidR="004177A1" w:rsidRDefault="004B7A66" w:rsidP="000E02D6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  <w:lang w:eastAsia="zh-CN"/>
        </w:rPr>
        <w:t>9am – 3pm</w:t>
      </w:r>
      <w:r w:rsidR="000E02D6">
        <w:rPr>
          <w:rFonts w:ascii="Calibri" w:hAnsi="Calibri" w:cs="Arial"/>
          <w:b/>
          <w:bCs/>
          <w:sz w:val="28"/>
          <w:szCs w:val="28"/>
          <w:lang w:eastAsia="zh-CN"/>
        </w:rPr>
        <w:t xml:space="preserve"> </w:t>
      </w:r>
      <w:r w:rsidR="00805A73">
        <w:rPr>
          <w:rFonts w:ascii="Calibri" w:hAnsi="Calibri" w:cs="Arial"/>
          <w:b/>
          <w:bCs/>
          <w:sz w:val="28"/>
          <w:szCs w:val="28"/>
          <w:lang w:eastAsia="zh-CN"/>
        </w:rPr>
        <w:t>on</w:t>
      </w:r>
      <w:r w:rsidR="004177A1" w:rsidRPr="00B51DC4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014EE5">
        <w:rPr>
          <w:rFonts w:ascii="Calibri" w:hAnsi="Calibri" w:cs="Arial"/>
          <w:b/>
          <w:bCs/>
          <w:sz w:val="28"/>
          <w:szCs w:val="28"/>
        </w:rPr>
        <w:t xml:space="preserve">19 and </w:t>
      </w:r>
      <w:r w:rsidR="004C7566">
        <w:rPr>
          <w:rFonts w:ascii="Calibri" w:hAnsi="Calibri" w:cs="Arial"/>
          <w:b/>
          <w:bCs/>
          <w:sz w:val="28"/>
          <w:szCs w:val="28"/>
        </w:rPr>
        <w:t>2</w:t>
      </w:r>
      <w:r w:rsidR="00014EE5">
        <w:rPr>
          <w:rFonts w:ascii="Calibri" w:hAnsi="Calibri" w:cs="Arial"/>
          <w:b/>
          <w:bCs/>
          <w:sz w:val="28"/>
          <w:szCs w:val="28"/>
        </w:rPr>
        <w:t>0 May</w:t>
      </w:r>
    </w:p>
    <w:p w:rsidR="005E498C" w:rsidRDefault="00376ECC" w:rsidP="004C7566">
      <w:pPr>
        <w:jc w:val="right"/>
        <w:rPr>
          <w:rFonts w:ascii="Calibri" w:hAnsi="Calibri" w:cs="Arial"/>
          <w:bCs/>
          <w:sz w:val="28"/>
          <w:szCs w:val="28"/>
          <w:lang w:eastAsia="zh-CN"/>
        </w:rPr>
      </w:pPr>
      <w:r>
        <w:rPr>
          <w:rFonts w:ascii="Calibri" w:hAnsi="Calibri" w:cs="Arial"/>
          <w:bCs/>
          <w:sz w:val="28"/>
          <w:szCs w:val="28"/>
          <w:lang w:eastAsia="zh-CN"/>
        </w:rPr>
        <w:t>University of Queensland</w:t>
      </w:r>
      <w:r w:rsidR="002D314C" w:rsidRPr="007E520B">
        <w:rPr>
          <w:rFonts w:ascii="Calibri" w:hAnsi="Calibri" w:cs="Arial"/>
          <w:bCs/>
          <w:sz w:val="28"/>
          <w:szCs w:val="28"/>
          <w:lang w:eastAsia="zh-CN"/>
        </w:rPr>
        <w:t>, S</w:t>
      </w:r>
      <w:r w:rsidR="00DF08F4">
        <w:rPr>
          <w:rFonts w:ascii="Calibri" w:hAnsi="Calibri" w:cs="Arial"/>
          <w:bCs/>
          <w:sz w:val="28"/>
          <w:szCs w:val="28"/>
          <w:lang w:eastAsia="zh-CN"/>
        </w:rPr>
        <w:t>t Lucia</w:t>
      </w:r>
      <w:r w:rsidR="004C7566" w:rsidRPr="007E520B">
        <w:rPr>
          <w:rFonts w:ascii="Calibri" w:hAnsi="Calibri" w:cs="Arial"/>
          <w:bCs/>
          <w:sz w:val="28"/>
          <w:szCs w:val="28"/>
          <w:lang w:eastAsia="zh-CN"/>
        </w:rPr>
        <w:t xml:space="preserve"> </w:t>
      </w:r>
    </w:p>
    <w:p w:rsidR="004B7A66" w:rsidRPr="007E520B" w:rsidRDefault="004B7A66" w:rsidP="004C7566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7135" w:rsidTr="00D97135">
        <w:tc>
          <w:tcPr>
            <w:tcW w:w="10456" w:type="dxa"/>
            <w:shd w:val="clear" w:color="auto" w:fill="C00000"/>
          </w:tcPr>
          <w:p w:rsidR="00D97135" w:rsidRPr="00D97135" w:rsidRDefault="00D97135" w:rsidP="00D97135">
            <w:pPr>
              <w:spacing w:before="120" w:after="120"/>
              <w:jc w:val="center"/>
              <w:rPr>
                <w:rFonts w:asciiTheme="minorHAnsi" w:hAnsiTheme="minorHAnsi"/>
                <w:b/>
                <w:lang w:val="en-AU"/>
              </w:rPr>
            </w:pPr>
            <w:r w:rsidRPr="00D97135">
              <w:rPr>
                <w:rFonts w:asciiTheme="minorHAnsi" w:hAnsiTheme="minorHAnsi"/>
                <w:b/>
                <w:lang w:val="en-AU"/>
              </w:rPr>
              <w:t>ELABORATION</w:t>
            </w:r>
          </w:p>
        </w:tc>
      </w:tr>
      <w:tr w:rsidR="00D97135" w:rsidTr="00D97135">
        <w:tc>
          <w:tcPr>
            <w:tcW w:w="10456" w:type="dxa"/>
          </w:tcPr>
          <w:p w:rsidR="006E78B0" w:rsidRPr="00376ECC" w:rsidRDefault="006E78B0" w:rsidP="006E78B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07055" w:rsidRPr="00175313" w:rsidRDefault="00E07055" w:rsidP="00E07055">
            <w:pPr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 w:rsidRPr="00E0705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Our Year 12 Masterclasses create the opportunity for English teachers to work with experts from the Queensland Curriculum and Assessment Authority, access the latest in Queensland-based scholarly research into effective assessment practices, and be supported </w:t>
            </w:r>
            <w:r w:rsidR="00376ECC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by </w:t>
            </w:r>
            <w:r w:rsidRPr="00E07055">
              <w:rPr>
                <w:rFonts w:asciiTheme="minorHAnsi" w:hAnsiTheme="minorHAnsi"/>
                <w:sz w:val="20"/>
                <w:szCs w:val="20"/>
                <w:lang w:val="en-AU"/>
              </w:rPr>
              <w:t>experienced peer practitioners. Run over two full weekends in 2018, this ambitious professional learning event wil</w:t>
            </w:r>
            <w:r w:rsidR="00175313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l be aligned with Units 3 and 4 </w:t>
            </w:r>
            <w:r w:rsidRPr="00E07055">
              <w:rPr>
                <w:rFonts w:asciiTheme="minorHAnsi" w:hAnsiTheme="minorHAnsi"/>
                <w:sz w:val="20"/>
                <w:szCs w:val="20"/>
                <w:lang w:val="en-AU"/>
              </w:rPr>
              <w:t>of the various Senior English Syllabus documents – English, Literature</w:t>
            </w:r>
            <w:r w:rsidR="001C144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, English as an Additional </w:t>
            </w:r>
            <w:r w:rsidRPr="00E07055">
              <w:rPr>
                <w:rFonts w:asciiTheme="minorHAnsi" w:hAnsiTheme="minorHAnsi"/>
                <w:sz w:val="20"/>
                <w:szCs w:val="20"/>
                <w:lang w:val="en-AU"/>
              </w:rPr>
              <w:t>Language, and Essential English. Participants will receive careful explanation of one semester unit of their selected syllabus, then participate in a structured thinking and planning day. At the end of each of four days, participants will be confident in designing and delivering complete unit plans for Year 12 (Units 3 and 4)</w:t>
            </w:r>
            <w:r w:rsidR="00376ECC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so it’s perfect for teams and leaders – as well as individual classroom teachers who wish to develop their own knowledge</w:t>
            </w:r>
            <w:r w:rsidRPr="00E0705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. </w:t>
            </w:r>
            <w:r w:rsidR="00175313" w:rsidRPr="00175313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 xml:space="preserve">This event considers Unit 3; Unit 4 will be addressed at the second weekend event, </w:t>
            </w:r>
            <w:r w:rsidR="00805A73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on 20th and 21</w:t>
            </w:r>
            <w:r w:rsidR="00805A73" w:rsidRPr="00805A73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AU"/>
              </w:rPr>
              <w:t>st</w:t>
            </w:r>
            <w:r w:rsidR="00805A73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 xml:space="preserve"> October 2018.</w:t>
            </w:r>
          </w:p>
          <w:p w:rsidR="001C144B" w:rsidRPr="00376ECC" w:rsidRDefault="001C144B" w:rsidP="001C144B">
            <w:pPr>
              <w:rPr>
                <w:rFonts w:asciiTheme="minorHAnsi" w:hAnsiTheme="minorHAnsi"/>
                <w:sz w:val="16"/>
                <w:szCs w:val="16"/>
                <w:lang w:val="en-AU"/>
              </w:rPr>
            </w:pPr>
          </w:p>
        </w:tc>
      </w:tr>
      <w:tr w:rsidR="00D97135" w:rsidTr="00D97135">
        <w:tc>
          <w:tcPr>
            <w:tcW w:w="10456" w:type="dxa"/>
            <w:shd w:val="clear" w:color="auto" w:fill="C00000"/>
          </w:tcPr>
          <w:p w:rsidR="00D97135" w:rsidRPr="00D97135" w:rsidRDefault="00D97135" w:rsidP="00C53B33">
            <w:pPr>
              <w:spacing w:before="120" w:after="120"/>
              <w:jc w:val="center"/>
              <w:rPr>
                <w:rFonts w:asciiTheme="minorHAnsi" w:hAnsiTheme="minorHAnsi"/>
                <w:b/>
                <w:lang w:val="en-AU"/>
              </w:rPr>
            </w:pPr>
            <w:r w:rsidRPr="00D97135">
              <w:rPr>
                <w:rFonts w:asciiTheme="minorHAnsi" w:hAnsiTheme="minorHAnsi"/>
                <w:b/>
                <w:lang w:val="en-AU"/>
              </w:rPr>
              <w:t>FORMAT</w:t>
            </w:r>
          </w:p>
        </w:tc>
      </w:tr>
      <w:tr w:rsidR="00D97135" w:rsidTr="00D97135">
        <w:tc>
          <w:tcPr>
            <w:tcW w:w="10456" w:type="dxa"/>
          </w:tcPr>
          <w:p w:rsidR="000E02D6" w:rsidRPr="00376ECC" w:rsidRDefault="000E02D6" w:rsidP="004C7566">
            <w:pPr>
              <w:rPr>
                <w:rFonts w:asciiTheme="minorHAnsi" w:hAnsiTheme="minorHAnsi"/>
                <w:b/>
                <w:sz w:val="16"/>
                <w:szCs w:val="16"/>
                <w:lang w:val="en-AU"/>
              </w:rPr>
            </w:pPr>
          </w:p>
          <w:p w:rsidR="00376ECC" w:rsidRDefault="00376ECC" w:rsidP="00327BF5">
            <w:pPr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The p</w:t>
            </w:r>
            <w:r w:rsidR="000E02D6" w:rsidRPr="000E02D6">
              <w:rPr>
                <w:rFonts w:asciiTheme="minorHAnsi" w:hAnsiTheme="minorHAnsi"/>
                <w:b/>
                <w:lang w:val="en-AU"/>
              </w:rPr>
              <w:t>rogram for Saturday 19</w:t>
            </w:r>
            <w:r w:rsidR="00175313">
              <w:rPr>
                <w:rFonts w:asciiTheme="minorHAnsi" w:hAnsiTheme="minorHAnsi"/>
                <w:b/>
                <w:lang w:val="en-AU"/>
              </w:rPr>
              <w:t xml:space="preserve"> May</w:t>
            </w:r>
            <w:r w:rsidR="000E02D6" w:rsidRPr="000E02D6">
              <w:rPr>
                <w:rFonts w:asciiTheme="minorHAnsi" w:hAnsiTheme="minorHAnsi"/>
                <w:b/>
                <w:lang w:val="en-AU"/>
              </w:rPr>
              <w:t xml:space="preserve"> will deal with English and Literature while</w:t>
            </w:r>
            <w:r>
              <w:rPr>
                <w:rFonts w:asciiTheme="minorHAnsi" w:hAnsiTheme="minorHAnsi"/>
                <w:b/>
                <w:lang w:val="en-AU"/>
              </w:rPr>
              <w:t xml:space="preserve"> </w:t>
            </w:r>
            <w:r w:rsidR="00327BF5">
              <w:rPr>
                <w:rFonts w:asciiTheme="minorHAnsi" w:hAnsiTheme="minorHAnsi"/>
                <w:b/>
                <w:lang w:val="en-AU"/>
              </w:rPr>
              <w:t>the</w:t>
            </w:r>
            <w:r w:rsidR="000E02D6" w:rsidRPr="000E02D6">
              <w:rPr>
                <w:rFonts w:asciiTheme="minorHAnsi" w:hAnsi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/>
                <w:b/>
                <w:lang w:val="en-AU"/>
              </w:rPr>
              <w:t>p</w:t>
            </w:r>
            <w:r w:rsidR="000E02D6" w:rsidRPr="000E02D6">
              <w:rPr>
                <w:rFonts w:asciiTheme="minorHAnsi" w:hAnsiTheme="minorHAnsi"/>
                <w:b/>
                <w:lang w:val="en-AU"/>
              </w:rPr>
              <w:t>rogram for Sunday 20</w:t>
            </w:r>
            <w:r w:rsidR="00175313">
              <w:rPr>
                <w:rFonts w:asciiTheme="minorHAnsi" w:hAnsiTheme="minorHAnsi"/>
                <w:b/>
                <w:lang w:val="en-AU"/>
              </w:rPr>
              <w:t xml:space="preserve"> May</w:t>
            </w:r>
            <w:r w:rsidR="000E02D6" w:rsidRPr="000E02D6">
              <w:rPr>
                <w:rFonts w:asciiTheme="minorHAnsi" w:hAnsiTheme="minorHAnsi"/>
                <w:b/>
                <w:lang w:val="en-AU"/>
              </w:rPr>
              <w:t xml:space="preserve"> will cover English, EALD and Essential English</w:t>
            </w:r>
            <w:r>
              <w:rPr>
                <w:rFonts w:asciiTheme="minorHAnsi" w:hAnsiTheme="minorHAnsi"/>
                <w:b/>
                <w:lang w:val="en-AU"/>
              </w:rPr>
              <w:t>.</w:t>
            </w:r>
          </w:p>
          <w:p w:rsidR="00327BF5" w:rsidRPr="00376ECC" w:rsidRDefault="00376ECC" w:rsidP="00376ECC">
            <w:pPr>
              <w:jc w:val="center"/>
              <w:rPr>
                <w:b/>
                <w:color w:val="FF0000"/>
              </w:rPr>
            </w:pPr>
            <w:r w:rsidRPr="00376ECC">
              <w:rPr>
                <w:rFonts w:asciiTheme="minorHAnsi" w:hAnsiTheme="minorHAnsi"/>
                <w:b/>
                <w:color w:val="FF0000"/>
                <w:lang w:val="en-AU"/>
              </w:rPr>
              <w:t>P</w:t>
            </w:r>
            <w:proofErr w:type="spellStart"/>
            <w:r w:rsidR="00327BF5" w:rsidRPr="00376ECC">
              <w:rPr>
                <w:b/>
                <w:color w:val="FF0000"/>
              </w:rPr>
              <w:t>articipants</w:t>
            </w:r>
            <w:proofErr w:type="spellEnd"/>
            <w:r w:rsidR="00327BF5" w:rsidRPr="00376ECC">
              <w:rPr>
                <w:b/>
                <w:color w:val="FF0000"/>
              </w:rPr>
              <w:t xml:space="preserve"> may register for Saturday, or Sunday or both days</w:t>
            </w:r>
          </w:p>
          <w:p w:rsidR="000E02D6" w:rsidRPr="000E02D6" w:rsidRDefault="000E02D6" w:rsidP="00327BF5">
            <w:pPr>
              <w:rPr>
                <w:rFonts w:asciiTheme="minorHAnsi" w:hAnsiTheme="minorHAnsi"/>
                <w:b/>
                <w:lang w:val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224"/>
            </w:tblGrid>
            <w:tr w:rsidR="004C7566" w:rsidTr="001C144B">
              <w:tc>
                <w:tcPr>
                  <w:tcW w:w="3006" w:type="dxa"/>
                </w:tcPr>
                <w:p w:rsidR="004C7566" w:rsidRPr="00C1711A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C1711A">
                    <w:rPr>
                      <w:rFonts w:asciiTheme="minorHAnsi" w:hAnsiTheme="minorHAnsi"/>
                    </w:rPr>
                    <w:t>Keynote</w:t>
                  </w:r>
                </w:p>
                <w:p w:rsidR="004C7566" w:rsidRPr="00C1711A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C1711A">
                    <w:rPr>
                      <w:rFonts w:asciiTheme="minorHAnsi" w:hAnsiTheme="minorHAnsi"/>
                    </w:rPr>
                    <w:t>9:10-10:30</w:t>
                  </w:r>
                </w:p>
              </w:tc>
              <w:tc>
                <w:tcPr>
                  <w:tcW w:w="7224" w:type="dxa"/>
                  <w:shd w:val="clear" w:color="auto" w:fill="auto"/>
                </w:tcPr>
                <w:p w:rsidR="004C7566" w:rsidRPr="001C144B" w:rsidRDefault="00175313" w:rsidP="00C171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The keynote for each syllabus strand will be presented by an ‘expert’ in the field. They will unpack Unit 3 in the syllabus and consider classroom implications for teachers.</w:t>
                  </w:r>
                </w:p>
              </w:tc>
            </w:tr>
            <w:tr w:rsidR="004C7566" w:rsidTr="00F625DE">
              <w:tc>
                <w:tcPr>
                  <w:tcW w:w="10230" w:type="dxa"/>
                  <w:gridSpan w:val="2"/>
                </w:tcPr>
                <w:p w:rsidR="004C7566" w:rsidRPr="00C1711A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C1711A">
                    <w:rPr>
                      <w:rFonts w:asciiTheme="minorHAnsi" w:hAnsiTheme="minorHAnsi"/>
                    </w:rPr>
                    <w:t>10:30-11                   Morning Tea</w:t>
                  </w:r>
                </w:p>
              </w:tc>
            </w:tr>
            <w:tr w:rsidR="004C7566" w:rsidTr="004C7566">
              <w:tc>
                <w:tcPr>
                  <w:tcW w:w="3006" w:type="dxa"/>
                </w:tcPr>
                <w:p w:rsidR="004C7566" w:rsidRPr="00C1711A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C1711A">
                    <w:rPr>
                      <w:rFonts w:asciiTheme="minorHAnsi" w:hAnsiTheme="minorHAnsi"/>
                    </w:rPr>
                    <w:t>Session 2</w:t>
                  </w:r>
                </w:p>
                <w:p w:rsidR="004C7566" w:rsidRPr="00C1711A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C1711A">
                    <w:rPr>
                      <w:rFonts w:asciiTheme="minorHAnsi" w:hAnsiTheme="minorHAnsi"/>
                    </w:rPr>
                    <w:t>11-12:30</w:t>
                  </w:r>
                </w:p>
              </w:tc>
              <w:tc>
                <w:tcPr>
                  <w:tcW w:w="7224" w:type="dxa"/>
                </w:tcPr>
                <w:p w:rsidR="004C7566" w:rsidRPr="00175313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175313">
                    <w:rPr>
                      <w:rFonts w:asciiTheme="minorHAnsi" w:hAnsiTheme="minorHAnsi"/>
                    </w:rPr>
                    <w:t xml:space="preserve">Focus on Unit </w:t>
                  </w:r>
                  <w:r w:rsidR="000E02D6" w:rsidRPr="00175313">
                    <w:rPr>
                      <w:rFonts w:asciiTheme="minorHAnsi" w:hAnsiTheme="minorHAnsi"/>
                    </w:rPr>
                    <w:t>3</w:t>
                  </w:r>
                </w:p>
                <w:p w:rsidR="004C7566" w:rsidRPr="00175313" w:rsidRDefault="004C7566" w:rsidP="00C171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</w:rPr>
                  </w:pPr>
                  <w:r w:rsidRPr="00175313">
                    <w:rPr>
                      <w:rFonts w:asciiTheme="minorHAnsi" w:hAnsiTheme="minorHAnsi"/>
                    </w:rPr>
                    <w:t>Deconstruction and discussion of exemplar teacher work</w:t>
                  </w:r>
                </w:p>
                <w:p w:rsidR="004C7566" w:rsidRPr="00175313" w:rsidRDefault="004C7566" w:rsidP="001753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</w:rPr>
                  </w:pPr>
                  <w:r w:rsidRPr="00175313">
                    <w:rPr>
                      <w:rFonts w:asciiTheme="minorHAnsi" w:hAnsiTheme="minorHAnsi"/>
                    </w:rPr>
                    <w:t>Guided activities on generating tasks</w:t>
                  </w:r>
                  <w:r w:rsidR="00175313">
                    <w:rPr>
                      <w:rFonts w:asciiTheme="minorHAnsi" w:hAnsiTheme="minorHAnsi"/>
                    </w:rPr>
                    <w:t xml:space="preserve"> and mapping units of work</w:t>
                  </w:r>
                </w:p>
              </w:tc>
            </w:tr>
            <w:tr w:rsidR="004C7566" w:rsidTr="008E4759">
              <w:tc>
                <w:tcPr>
                  <w:tcW w:w="10230" w:type="dxa"/>
                  <w:gridSpan w:val="2"/>
                </w:tcPr>
                <w:p w:rsidR="004C7566" w:rsidRPr="00C1711A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C1711A">
                    <w:rPr>
                      <w:rFonts w:asciiTheme="minorHAnsi" w:hAnsiTheme="minorHAnsi"/>
                    </w:rPr>
                    <w:t>12:30-1:30                 Lunch</w:t>
                  </w:r>
                </w:p>
              </w:tc>
            </w:tr>
            <w:tr w:rsidR="004C7566" w:rsidTr="004C7566">
              <w:tc>
                <w:tcPr>
                  <w:tcW w:w="3006" w:type="dxa"/>
                </w:tcPr>
                <w:p w:rsidR="004C7566" w:rsidRPr="00C1711A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C1711A">
                    <w:rPr>
                      <w:rFonts w:asciiTheme="minorHAnsi" w:hAnsiTheme="minorHAnsi"/>
                    </w:rPr>
                    <w:t>Session 3</w:t>
                  </w:r>
                </w:p>
                <w:p w:rsidR="004C7566" w:rsidRPr="00C1711A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C1711A">
                    <w:rPr>
                      <w:rFonts w:asciiTheme="minorHAnsi" w:hAnsiTheme="minorHAnsi"/>
                    </w:rPr>
                    <w:t>1:30-3</w:t>
                  </w:r>
                </w:p>
              </w:tc>
              <w:tc>
                <w:tcPr>
                  <w:tcW w:w="7224" w:type="dxa"/>
                </w:tcPr>
                <w:p w:rsidR="004C7566" w:rsidRPr="00175313" w:rsidRDefault="004C7566" w:rsidP="00C1711A">
                  <w:pPr>
                    <w:rPr>
                      <w:rFonts w:asciiTheme="minorHAnsi" w:hAnsiTheme="minorHAnsi"/>
                    </w:rPr>
                  </w:pPr>
                  <w:r w:rsidRPr="00175313">
                    <w:rPr>
                      <w:rFonts w:asciiTheme="minorHAnsi" w:hAnsiTheme="minorHAnsi"/>
                    </w:rPr>
                    <w:t>Developing student skills</w:t>
                  </w:r>
                  <w:r w:rsidR="00175313">
                    <w:rPr>
                      <w:rFonts w:asciiTheme="minorHAnsi" w:hAnsiTheme="minorHAnsi"/>
                    </w:rPr>
                    <w:t xml:space="preserve"> – teaching the new syllabus</w:t>
                  </w:r>
                </w:p>
                <w:p w:rsidR="004C7566" w:rsidRPr="00175313" w:rsidRDefault="004C7566" w:rsidP="00C1711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</w:rPr>
                  </w:pPr>
                  <w:r w:rsidRPr="00175313">
                    <w:rPr>
                      <w:rFonts w:asciiTheme="minorHAnsi" w:hAnsiTheme="minorHAnsi"/>
                    </w:rPr>
                    <w:t>Readiness/independence</w:t>
                  </w:r>
                </w:p>
                <w:p w:rsidR="004C7566" w:rsidRPr="00C1711A" w:rsidRDefault="004C7566" w:rsidP="00C1711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</w:rPr>
                  </w:pPr>
                  <w:r w:rsidRPr="00175313">
                    <w:rPr>
                      <w:rFonts w:asciiTheme="minorHAnsi" w:hAnsiTheme="minorHAnsi"/>
                    </w:rPr>
                    <w:t>Flexibility in thinking</w:t>
                  </w:r>
                </w:p>
              </w:tc>
            </w:tr>
          </w:tbl>
          <w:p w:rsidR="004C7566" w:rsidRPr="004C7566" w:rsidRDefault="004C7566" w:rsidP="004C7566">
            <w:pPr>
              <w:spacing w:before="120" w:after="120"/>
              <w:rPr>
                <w:rFonts w:asciiTheme="minorHAnsi" w:hAnsiTheme="minorHAnsi"/>
                <w:lang w:val="en-AU"/>
              </w:rPr>
            </w:pPr>
          </w:p>
        </w:tc>
      </w:tr>
    </w:tbl>
    <w:p w:rsidR="00327BF5" w:rsidRDefault="00327BF5" w:rsidP="00D97135">
      <w:pPr>
        <w:jc w:val="center"/>
        <w:rPr>
          <w:b/>
        </w:rPr>
      </w:pPr>
    </w:p>
    <w:p w:rsidR="00884EBE" w:rsidRPr="007E520B" w:rsidRDefault="007E520B" w:rsidP="00D97135">
      <w:pPr>
        <w:jc w:val="center"/>
        <w:rPr>
          <w:b/>
        </w:rPr>
      </w:pPr>
      <w:r w:rsidRPr="007E520B">
        <w:rPr>
          <w:b/>
        </w:rPr>
        <w:t xml:space="preserve">Program available and registrations open on Wednesday </w:t>
      </w:r>
      <w:r w:rsidR="00DF08F4">
        <w:rPr>
          <w:b/>
        </w:rPr>
        <w:t>1</w:t>
      </w:r>
      <w:r w:rsidRPr="007E520B">
        <w:rPr>
          <w:b/>
        </w:rPr>
        <w:t xml:space="preserve">1 </w:t>
      </w:r>
      <w:r w:rsidR="00DF08F4">
        <w:rPr>
          <w:b/>
        </w:rPr>
        <w:t>April</w:t>
      </w:r>
    </w:p>
    <w:p w:rsidR="007E520B" w:rsidRPr="007E520B" w:rsidRDefault="007E520B" w:rsidP="00D97135">
      <w:pPr>
        <w:jc w:val="center"/>
        <w:rPr>
          <w:b/>
        </w:rPr>
      </w:pPr>
      <w:r w:rsidRPr="007E520B">
        <w:rPr>
          <w:b/>
        </w:rPr>
        <w:t xml:space="preserve">Registrations close Friday </w:t>
      </w:r>
      <w:r w:rsidR="00DF08F4">
        <w:rPr>
          <w:b/>
        </w:rPr>
        <w:t>11</w:t>
      </w:r>
      <w:r w:rsidRPr="007E520B">
        <w:rPr>
          <w:b/>
        </w:rPr>
        <w:t xml:space="preserve"> </w:t>
      </w:r>
      <w:r w:rsidR="00DF08F4">
        <w:rPr>
          <w:b/>
        </w:rPr>
        <w:t>May</w:t>
      </w:r>
    </w:p>
    <w:sectPr w:rsidR="007E520B" w:rsidRPr="007E520B" w:rsidSect="0024747C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3A" w:rsidRDefault="00001A3A" w:rsidP="00F4702F">
      <w:r>
        <w:separator/>
      </w:r>
    </w:p>
  </w:endnote>
  <w:endnote w:type="continuationSeparator" w:id="0">
    <w:p w:rsidR="00001A3A" w:rsidRDefault="00001A3A" w:rsidP="00F4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3A" w:rsidRDefault="00001A3A" w:rsidP="00F4702F">
      <w:r>
        <w:separator/>
      </w:r>
    </w:p>
  </w:footnote>
  <w:footnote w:type="continuationSeparator" w:id="0">
    <w:p w:rsidR="00001A3A" w:rsidRDefault="00001A3A" w:rsidP="00F4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2F" w:rsidRDefault="00F4702F" w:rsidP="005E49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1A5"/>
    <w:multiLevelType w:val="hybridMultilevel"/>
    <w:tmpl w:val="F3B894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7DE"/>
    <w:multiLevelType w:val="hybridMultilevel"/>
    <w:tmpl w:val="6B088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86536"/>
    <w:multiLevelType w:val="hybridMultilevel"/>
    <w:tmpl w:val="33324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2F"/>
    <w:rsid w:val="00001A3A"/>
    <w:rsid w:val="00014EE5"/>
    <w:rsid w:val="000E02D6"/>
    <w:rsid w:val="000E0F15"/>
    <w:rsid w:val="000E2D78"/>
    <w:rsid w:val="00175313"/>
    <w:rsid w:val="001C144B"/>
    <w:rsid w:val="001D1914"/>
    <w:rsid w:val="001F63C2"/>
    <w:rsid w:val="00232BC4"/>
    <w:rsid w:val="00235276"/>
    <w:rsid w:val="0024747C"/>
    <w:rsid w:val="002D314C"/>
    <w:rsid w:val="002D73D0"/>
    <w:rsid w:val="002F3711"/>
    <w:rsid w:val="00327BF5"/>
    <w:rsid w:val="00345EA0"/>
    <w:rsid w:val="00376ECC"/>
    <w:rsid w:val="004177A1"/>
    <w:rsid w:val="004B7A66"/>
    <w:rsid w:val="004C7566"/>
    <w:rsid w:val="00515C00"/>
    <w:rsid w:val="005A1F1E"/>
    <w:rsid w:val="005E498C"/>
    <w:rsid w:val="00663103"/>
    <w:rsid w:val="006D79F1"/>
    <w:rsid w:val="006E78B0"/>
    <w:rsid w:val="007853EF"/>
    <w:rsid w:val="007964DB"/>
    <w:rsid w:val="007B6A3E"/>
    <w:rsid w:val="007C1AB5"/>
    <w:rsid w:val="007E520B"/>
    <w:rsid w:val="00805A73"/>
    <w:rsid w:val="00822CF7"/>
    <w:rsid w:val="00845B97"/>
    <w:rsid w:val="00884EBE"/>
    <w:rsid w:val="0088695D"/>
    <w:rsid w:val="008D525C"/>
    <w:rsid w:val="008F6951"/>
    <w:rsid w:val="009721A6"/>
    <w:rsid w:val="00A1618D"/>
    <w:rsid w:val="00A85E69"/>
    <w:rsid w:val="00B23D54"/>
    <w:rsid w:val="00B354B3"/>
    <w:rsid w:val="00B51A88"/>
    <w:rsid w:val="00BE251D"/>
    <w:rsid w:val="00C1711A"/>
    <w:rsid w:val="00C53B33"/>
    <w:rsid w:val="00CB422F"/>
    <w:rsid w:val="00D65FAB"/>
    <w:rsid w:val="00D97135"/>
    <w:rsid w:val="00DF08F4"/>
    <w:rsid w:val="00E07055"/>
    <w:rsid w:val="00E07A5B"/>
    <w:rsid w:val="00F048E8"/>
    <w:rsid w:val="00F4702F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CF723-4621-4C23-AE1A-D28E6E8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7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177A1"/>
    <w:pPr>
      <w:keepNext/>
      <w:jc w:val="center"/>
      <w:outlineLvl w:val="1"/>
    </w:pPr>
    <w:rPr>
      <w:sz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2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AU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4702F"/>
  </w:style>
  <w:style w:type="paragraph" w:styleId="Footer">
    <w:name w:val="footer"/>
    <w:basedOn w:val="Normal"/>
    <w:link w:val="FooterChar"/>
    <w:uiPriority w:val="99"/>
    <w:unhideWhenUsed/>
    <w:rsid w:val="00F4702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AU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4702F"/>
  </w:style>
  <w:style w:type="character" w:customStyle="1" w:styleId="Heading2Char">
    <w:name w:val="Heading 2 Char"/>
    <w:basedOn w:val="DefaultParagraphFont"/>
    <w:link w:val="Heading2"/>
    <w:rsid w:val="004177A1"/>
    <w:rPr>
      <w:rFonts w:ascii="Times New Roman" w:eastAsia="SimSun" w:hAnsi="Times New Roman" w:cs="Times New Roman"/>
      <w:sz w:val="120"/>
      <w:szCs w:val="24"/>
      <w:lang w:val="en-US" w:eastAsia="en-US"/>
    </w:rPr>
  </w:style>
  <w:style w:type="table" w:styleId="TableGrid">
    <w:name w:val="Table Grid"/>
    <w:basedOn w:val="TableNormal"/>
    <w:uiPriority w:val="39"/>
    <w:rsid w:val="00D9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2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EBE"/>
    <w:pPr>
      <w:spacing w:after="360"/>
    </w:pPr>
    <w:rPr>
      <w:rFonts w:ascii="Ubuntu" w:eastAsia="Times New Roman" w:hAnsi="Ubuntu"/>
      <w:color w:val="6B6868"/>
      <w:sz w:val="27"/>
      <w:szCs w:val="27"/>
      <w:lang w:val="en-AU" w:eastAsia="zh-TW"/>
    </w:rPr>
  </w:style>
  <w:style w:type="character" w:styleId="Hyperlink">
    <w:name w:val="Hyperlink"/>
    <w:basedOn w:val="DefaultParagraphFont"/>
    <w:uiPriority w:val="99"/>
    <w:unhideWhenUsed/>
    <w:rsid w:val="00884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CLAIMER 2018</vt:lpstr>
    </vt:vector>
  </TitlesOfParts>
  <Company>Queensland Government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CLAIMER 2018</dc:title>
  <dc:subject/>
  <dc:creator>ARNOLD, Julie</dc:creator>
  <cp:keywords/>
  <dc:description/>
  <cp:lastModifiedBy>Trish Purcell</cp:lastModifiedBy>
  <cp:revision>2</cp:revision>
  <dcterms:created xsi:type="dcterms:W3CDTF">2018-02-06T09:41:00Z</dcterms:created>
  <dcterms:modified xsi:type="dcterms:W3CDTF">2018-02-06T09:41:00Z</dcterms:modified>
</cp:coreProperties>
</file>