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B9" w:rsidRDefault="009674CC">
      <w:bookmarkStart w:id="0" w:name="_GoBack"/>
      <w:bookmarkEnd w:id="0"/>
      <w:r>
        <w:rPr>
          <w:rFonts w:ascii="Arial" w:eastAsia="Arial" w:hAnsi="Arial" w:cs="Arial"/>
          <w:b/>
          <w:noProof/>
          <w:sz w:val="32"/>
          <w:szCs w:val="32"/>
        </w:rPr>
        <w:drawing>
          <wp:inline distT="0" distB="0" distL="0" distR="0">
            <wp:extent cx="6601586" cy="1743919"/>
            <wp:effectExtent l="0" t="0" r="0" b="0"/>
            <wp:docPr id="1" name="image3.jpg" descr="ETAQ-Logo-LowRes"/>
            <wp:cNvGraphicFramePr/>
            <a:graphic xmlns:a="http://schemas.openxmlformats.org/drawingml/2006/main">
              <a:graphicData uri="http://schemas.openxmlformats.org/drawingml/2006/picture">
                <pic:pic xmlns:pic="http://schemas.openxmlformats.org/drawingml/2006/picture">
                  <pic:nvPicPr>
                    <pic:cNvPr id="0" name="image3.jpg" descr="ETAQ-Logo-LowRes"/>
                    <pic:cNvPicPr preferRelativeResize="0"/>
                  </pic:nvPicPr>
                  <pic:blipFill>
                    <a:blip r:embed="rId5"/>
                    <a:srcRect/>
                    <a:stretch>
                      <a:fillRect/>
                    </a:stretch>
                  </pic:blipFill>
                  <pic:spPr>
                    <a:xfrm>
                      <a:off x="0" y="0"/>
                      <a:ext cx="6601586" cy="1743919"/>
                    </a:xfrm>
                    <a:prstGeom prst="rect">
                      <a:avLst/>
                    </a:prstGeom>
                    <a:ln/>
                  </pic:spPr>
                </pic:pic>
              </a:graphicData>
            </a:graphic>
          </wp:inline>
        </w:drawing>
      </w:r>
    </w:p>
    <w:p w:rsidR="007D23B9" w:rsidRDefault="007D23B9"/>
    <w:p w:rsidR="007D23B9" w:rsidRPr="00170965" w:rsidRDefault="00794355" w:rsidP="00794355">
      <w:pPr>
        <w:tabs>
          <w:tab w:val="left" w:pos="3480"/>
        </w:tabs>
        <w:rPr>
          <w:b/>
          <w:sz w:val="32"/>
          <w:szCs w:val="32"/>
        </w:rPr>
      </w:pPr>
      <w:r>
        <w:rPr>
          <w:b/>
          <w:sz w:val="32"/>
          <w:szCs w:val="32"/>
        </w:rPr>
        <w:tab/>
        <w:t>GRACE LOYDEN and the new SATE</w:t>
      </w:r>
    </w:p>
    <w:tbl>
      <w:tblPr>
        <w:tblStyle w:val="a"/>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052"/>
      </w:tblGrid>
      <w:tr w:rsidR="007D23B9">
        <w:tc>
          <w:tcPr>
            <w:tcW w:w="2836" w:type="dxa"/>
            <w:vAlign w:val="center"/>
          </w:tcPr>
          <w:p w:rsidR="007D23B9" w:rsidRPr="00DC0C1E" w:rsidRDefault="009674CC">
            <w:pPr>
              <w:spacing w:before="60" w:after="60"/>
              <w:rPr>
                <w:b/>
                <w:sz w:val="32"/>
                <w:szCs w:val="32"/>
              </w:rPr>
            </w:pPr>
            <w:r w:rsidRPr="00DC0C1E">
              <w:rPr>
                <w:b/>
                <w:sz w:val="32"/>
                <w:szCs w:val="32"/>
              </w:rPr>
              <w:t>Purpose</w:t>
            </w:r>
          </w:p>
        </w:tc>
        <w:tc>
          <w:tcPr>
            <w:tcW w:w="7052" w:type="dxa"/>
          </w:tcPr>
          <w:p w:rsidR="007D23B9" w:rsidRPr="00170965" w:rsidRDefault="009674CC">
            <w:pPr>
              <w:spacing w:before="60" w:after="60"/>
            </w:pPr>
            <w:r w:rsidRPr="00170965">
              <w:t xml:space="preserve">To </w:t>
            </w:r>
            <w:r w:rsidR="00D84482">
              <w:t>inform participants of aspects of the new SATE.</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Date</w:t>
            </w:r>
          </w:p>
        </w:tc>
        <w:tc>
          <w:tcPr>
            <w:tcW w:w="7052" w:type="dxa"/>
          </w:tcPr>
          <w:p w:rsidR="007D23B9" w:rsidRPr="00170965" w:rsidRDefault="009674CC">
            <w:pPr>
              <w:spacing w:before="60" w:after="60"/>
              <w:rPr>
                <w:b/>
              </w:rPr>
            </w:pPr>
            <w:r w:rsidRPr="00170965">
              <w:rPr>
                <w:b/>
              </w:rPr>
              <w:t>Saturday 28</w:t>
            </w:r>
            <w:r w:rsidRPr="00170965">
              <w:rPr>
                <w:b/>
                <w:vertAlign w:val="superscript"/>
              </w:rPr>
              <w:t>TH</w:t>
            </w:r>
            <w:r w:rsidR="0025092A">
              <w:rPr>
                <w:b/>
              </w:rPr>
              <w:t xml:space="preserve"> </w:t>
            </w:r>
            <w:proofErr w:type="gramStart"/>
            <w:r w:rsidR="0025092A">
              <w:rPr>
                <w:b/>
              </w:rPr>
              <w:t xml:space="preserve">July </w:t>
            </w:r>
            <w:r w:rsidRPr="00170965">
              <w:rPr>
                <w:b/>
              </w:rPr>
              <w:t xml:space="preserve"> 2018</w:t>
            </w:r>
            <w:proofErr w:type="gramEnd"/>
            <w:r w:rsidRPr="00170965">
              <w:rPr>
                <w:b/>
              </w:rPr>
              <w:t xml:space="preserve">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Location</w:t>
            </w:r>
          </w:p>
        </w:tc>
        <w:tc>
          <w:tcPr>
            <w:tcW w:w="7052" w:type="dxa"/>
          </w:tcPr>
          <w:p w:rsidR="007D23B9" w:rsidRPr="00170965" w:rsidRDefault="009674CC">
            <w:pPr>
              <w:spacing w:before="60" w:after="60"/>
            </w:pPr>
            <w:r w:rsidRPr="00170965">
              <w:t>T</w:t>
            </w:r>
            <w:r w:rsidR="00D84482">
              <w:t>ownsville Grammar School</w:t>
            </w:r>
            <w:r w:rsidR="00AB5F67" w:rsidRPr="00170965">
              <w:t xml:space="preserve">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Travel</w:t>
            </w:r>
          </w:p>
        </w:tc>
        <w:tc>
          <w:tcPr>
            <w:tcW w:w="7052" w:type="dxa"/>
          </w:tcPr>
          <w:p w:rsidR="007D23B9" w:rsidRPr="00170965" w:rsidRDefault="009674CC">
            <w:pPr>
              <w:spacing w:before="60" w:after="60"/>
            </w:pPr>
            <w:r w:rsidRPr="00170965">
              <w:t xml:space="preserve">Parking is free. </w:t>
            </w:r>
          </w:p>
        </w:tc>
      </w:tr>
      <w:tr w:rsidR="007D23B9">
        <w:tc>
          <w:tcPr>
            <w:tcW w:w="2836" w:type="dxa"/>
            <w:vAlign w:val="center"/>
          </w:tcPr>
          <w:p w:rsidR="007D23B9" w:rsidRPr="00DC0C1E" w:rsidRDefault="009674CC">
            <w:pPr>
              <w:spacing w:before="60" w:after="60"/>
              <w:rPr>
                <w:b/>
                <w:sz w:val="32"/>
                <w:szCs w:val="32"/>
              </w:rPr>
            </w:pPr>
            <w:r w:rsidRPr="00DC0C1E">
              <w:rPr>
                <w:b/>
                <w:sz w:val="32"/>
                <w:szCs w:val="32"/>
              </w:rPr>
              <w:t>Timings</w:t>
            </w:r>
          </w:p>
        </w:tc>
        <w:tc>
          <w:tcPr>
            <w:tcW w:w="7052" w:type="dxa"/>
          </w:tcPr>
          <w:p w:rsidR="007D23B9" w:rsidRPr="00170965" w:rsidRDefault="00BE741B">
            <w:pPr>
              <w:rPr>
                <w:rFonts w:asciiTheme="majorHAnsi" w:hAnsiTheme="majorHAnsi"/>
              </w:rPr>
            </w:pPr>
            <w:r w:rsidRPr="00170965">
              <w:rPr>
                <w:rFonts w:asciiTheme="majorHAnsi" w:hAnsiTheme="majorHAnsi"/>
              </w:rPr>
              <w:t>9</w:t>
            </w:r>
            <w:r w:rsidR="004F47BE" w:rsidRPr="00170965">
              <w:rPr>
                <w:rFonts w:asciiTheme="majorHAnsi" w:hAnsiTheme="majorHAnsi"/>
              </w:rPr>
              <w:t>.00AM</w:t>
            </w:r>
            <w:r w:rsidR="00170965">
              <w:rPr>
                <w:rFonts w:asciiTheme="majorHAnsi" w:hAnsiTheme="majorHAnsi"/>
              </w:rPr>
              <w:t xml:space="preserve"> </w:t>
            </w:r>
            <w:r w:rsidR="004F47BE" w:rsidRPr="00170965">
              <w:rPr>
                <w:rFonts w:asciiTheme="majorHAnsi" w:hAnsiTheme="majorHAnsi"/>
              </w:rPr>
              <w:t>-</w:t>
            </w:r>
            <w:r w:rsidR="00170965">
              <w:rPr>
                <w:rFonts w:asciiTheme="majorHAnsi" w:hAnsiTheme="majorHAnsi"/>
              </w:rPr>
              <w:t xml:space="preserve"> </w:t>
            </w:r>
            <w:r w:rsidR="004F47BE" w:rsidRPr="00170965">
              <w:rPr>
                <w:rFonts w:asciiTheme="majorHAnsi" w:hAnsiTheme="majorHAnsi"/>
              </w:rPr>
              <w:t>12.30</w:t>
            </w:r>
            <w:r w:rsidR="00170965">
              <w:rPr>
                <w:rFonts w:asciiTheme="majorHAnsi" w:hAnsiTheme="majorHAnsi"/>
              </w:rPr>
              <w:t>PM</w:t>
            </w:r>
            <w:r w:rsidR="00D84482">
              <w:rPr>
                <w:rFonts w:asciiTheme="majorHAnsi" w:hAnsiTheme="majorHAnsi"/>
              </w:rPr>
              <w:t xml:space="preserve">- </w:t>
            </w:r>
            <w:r w:rsidR="004F47BE" w:rsidRPr="00170965">
              <w:rPr>
                <w:rFonts w:asciiTheme="majorHAnsi" w:hAnsiTheme="majorHAnsi"/>
              </w:rPr>
              <w:t>Morning tea supplied 10.30am</w:t>
            </w:r>
            <w:r w:rsidR="00170965">
              <w:rPr>
                <w:rFonts w:asciiTheme="majorHAnsi" w:hAnsiTheme="majorHAnsi"/>
              </w:rPr>
              <w:t xml:space="preserve"> </w:t>
            </w:r>
            <w:r w:rsidR="004F47BE" w:rsidRPr="00170965">
              <w:rPr>
                <w:rFonts w:asciiTheme="majorHAnsi" w:hAnsiTheme="majorHAnsi"/>
              </w:rPr>
              <w:t>-</w:t>
            </w:r>
            <w:r w:rsidR="00170965">
              <w:rPr>
                <w:rFonts w:asciiTheme="majorHAnsi" w:hAnsiTheme="majorHAnsi"/>
              </w:rPr>
              <w:t xml:space="preserve"> </w:t>
            </w:r>
            <w:r w:rsidR="004F47BE" w:rsidRPr="00170965">
              <w:rPr>
                <w:rFonts w:asciiTheme="majorHAnsi" w:hAnsiTheme="majorHAnsi"/>
              </w:rPr>
              <w:t>1100am</w:t>
            </w:r>
          </w:p>
        </w:tc>
      </w:tr>
      <w:tr w:rsidR="007D23B9" w:rsidTr="00170965">
        <w:trPr>
          <w:trHeight w:val="5917"/>
        </w:trPr>
        <w:tc>
          <w:tcPr>
            <w:tcW w:w="2836" w:type="dxa"/>
            <w:vAlign w:val="center"/>
          </w:tcPr>
          <w:p w:rsidR="007D23B9" w:rsidRDefault="007D23B9">
            <w:pPr>
              <w:spacing w:before="60" w:after="60"/>
              <w:rPr>
                <w:b/>
                <w:sz w:val="20"/>
                <w:szCs w:val="20"/>
              </w:rPr>
            </w:pPr>
          </w:p>
        </w:tc>
        <w:tc>
          <w:tcPr>
            <w:tcW w:w="7052" w:type="dxa"/>
          </w:tcPr>
          <w:p w:rsidR="00170965" w:rsidRPr="00170965" w:rsidRDefault="00170965" w:rsidP="00170965">
            <w:pPr>
              <w:rPr>
                <w:color w:val="000000" w:themeColor="text1"/>
              </w:rPr>
            </w:pPr>
            <w:bookmarkStart w:id="1" w:name="_gjdgxs" w:colFirst="0" w:colLast="0"/>
            <w:bookmarkEnd w:id="1"/>
            <w:r w:rsidRPr="00170965">
              <w:rPr>
                <w:color w:val="000000" w:themeColor="text1"/>
                <w:lang w:val="en-US"/>
              </w:rPr>
              <w:t xml:space="preserve"> What are the patterns and conventions of a text suitable for a public audience?</w:t>
            </w:r>
          </w:p>
          <w:p w:rsidR="00170965" w:rsidRPr="00170965" w:rsidRDefault="00170965" w:rsidP="00170965">
            <w:pPr>
              <w:rPr>
                <w:color w:val="000000" w:themeColor="text1"/>
              </w:rPr>
            </w:pPr>
            <w:r w:rsidRPr="00170965">
              <w:rPr>
                <w:color w:val="000000" w:themeColor="text1"/>
                <w:lang w:val="en-US"/>
              </w:rPr>
              <w:t> English (2019) requires students complete a written response suitable for a public audience.</w:t>
            </w:r>
            <w:r w:rsidRPr="00170965">
              <w:rPr>
                <w:rStyle w:val="apple-converted-space"/>
                <w:color w:val="000000" w:themeColor="text1"/>
                <w:lang w:val="en-US"/>
              </w:rPr>
              <w:t> </w:t>
            </w:r>
          </w:p>
          <w:p w:rsidR="00170965" w:rsidRPr="00170965" w:rsidRDefault="00170965" w:rsidP="00170965">
            <w:pPr>
              <w:rPr>
                <w:color w:val="000000" w:themeColor="text1"/>
              </w:rPr>
            </w:pPr>
            <w:r w:rsidRPr="00170965">
              <w:rPr>
                <w:color w:val="000000" w:themeColor="text1"/>
                <w:lang w:val="en-US"/>
              </w:rPr>
              <w:t>The purpose of the response is analytical; however, constructing an engaging media text may involve elements of creative, reflective and persuasive writing.</w:t>
            </w:r>
            <w:r w:rsidRPr="00170965">
              <w:rPr>
                <w:rStyle w:val="apple-converted-space"/>
                <w:color w:val="000000" w:themeColor="text1"/>
                <w:lang w:val="en-US"/>
              </w:rPr>
              <w:t> </w:t>
            </w:r>
          </w:p>
          <w:p w:rsidR="00170965" w:rsidRPr="00170965" w:rsidRDefault="00170965" w:rsidP="00170965">
            <w:pPr>
              <w:rPr>
                <w:color w:val="000000" w:themeColor="text1"/>
              </w:rPr>
            </w:pPr>
            <w:r w:rsidRPr="00170965">
              <w:rPr>
                <w:color w:val="000000" w:themeColor="text1"/>
                <w:lang w:val="en-US"/>
              </w:rPr>
              <w:t> This hands-on workshop will</w:t>
            </w:r>
            <w:r w:rsidRPr="00170965">
              <w:rPr>
                <w:rStyle w:val="apple-converted-space"/>
                <w:color w:val="000000" w:themeColor="text1"/>
                <w:lang w:val="en-US"/>
              </w:rPr>
              <w:t> </w:t>
            </w:r>
            <w:r w:rsidRPr="00170965">
              <w:rPr>
                <w:color w:val="000000" w:themeColor="text1"/>
                <w:lang w:val="en-US"/>
              </w:rPr>
              <w:t>allow teachers to explore the following questions:</w:t>
            </w:r>
          </w:p>
          <w:p w:rsidR="00170965" w:rsidRPr="00170965" w:rsidRDefault="00170965" w:rsidP="00170965">
            <w:pPr>
              <w:rPr>
                <w:color w:val="000000" w:themeColor="text1"/>
              </w:rPr>
            </w:pPr>
            <w:r w:rsidRPr="00170965">
              <w:rPr>
                <w:color w:val="000000" w:themeColor="text1"/>
                <w:lang w:val="en-US"/>
              </w:rPr>
              <w:t> </w:t>
            </w:r>
          </w:p>
          <w:p w:rsidR="00170965" w:rsidRPr="00170965" w:rsidRDefault="00170965" w:rsidP="00170965">
            <w:pPr>
              <w:pStyle w:val="ListParagraph"/>
              <w:spacing w:after="0"/>
              <w:ind w:hanging="360"/>
              <w:rPr>
                <w:rFonts w:ascii="Calibri" w:hAnsi="Calibri"/>
                <w:color w:val="000000" w:themeColor="text1"/>
              </w:rPr>
            </w:pPr>
            <w:r w:rsidRPr="00170965">
              <w:rPr>
                <w:rFonts w:ascii="Calibri" w:hAnsi="Calibri"/>
                <w:color w:val="000000" w:themeColor="text1"/>
                <w:lang w:val="en-US"/>
              </w:rPr>
              <w:t>·</w:t>
            </w:r>
            <w:r w:rsidRPr="00170965">
              <w:rPr>
                <w:color w:val="000000" w:themeColor="text1"/>
                <w:sz w:val="14"/>
                <w:szCs w:val="14"/>
                <w:lang w:val="en-US"/>
              </w:rPr>
              <w:t>      </w:t>
            </w:r>
            <w:r w:rsidRPr="00170965">
              <w:rPr>
                <w:rStyle w:val="apple-converted-space"/>
                <w:color w:val="000000" w:themeColor="text1"/>
                <w:sz w:val="14"/>
                <w:szCs w:val="14"/>
                <w:lang w:val="en-US"/>
              </w:rPr>
              <w:t> </w:t>
            </w:r>
            <w:r w:rsidRPr="00170965">
              <w:rPr>
                <w:rFonts w:ascii="Calibri" w:hAnsi="Calibri"/>
                <w:color w:val="000000" w:themeColor="text1"/>
                <w:lang w:val="en-US"/>
              </w:rPr>
              <w:t>How can students write for an authentic audience?</w:t>
            </w:r>
          </w:p>
          <w:p w:rsidR="00170965" w:rsidRPr="00170965" w:rsidRDefault="00170965" w:rsidP="00170965">
            <w:pPr>
              <w:pStyle w:val="ListParagraph"/>
              <w:spacing w:after="0"/>
              <w:ind w:hanging="360"/>
              <w:rPr>
                <w:rFonts w:ascii="Calibri" w:hAnsi="Calibri"/>
                <w:color w:val="000000" w:themeColor="text1"/>
              </w:rPr>
            </w:pPr>
            <w:r w:rsidRPr="00170965">
              <w:rPr>
                <w:rFonts w:ascii="Calibri" w:hAnsi="Calibri"/>
                <w:color w:val="000000" w:themeColor="text1"/>
                <w:lang w:val="en-US"/>
              </w:rPr>
              <w:t>·</w:t>
            </w:r>
            <w:r w:rsidRPr="00170965">
              <w:rPr>
                <w:color w:val="000000" w:themeColor="text1"/>
                <w:sz w:val="14"/>
                <w:szCs w:val="14"/>
                <w:lang w:val="en-US"/>
              </w:rPr>
              <w:t>      </w:t>
            </w:r>
            <w:r w:rsidRPr="00170965">
              <w:rPr>
                <w:rStyle w:val="apple-converted-space"/>
                <w:color w:val="000000" w:themeColor="text1"/>
                <w:sz w:val="14"/>
                <w:szCs w:val="14"/>
                <w:lang w:val="en-US"/>
              </w:rPr>
              <w:t> </w:t>
            </w:r>
            <w:r w:rsidRPr="00170965">
              <w:rPr>
                <w:rFonts w:ascii="Calibri" w:hAnsi="Calibri"/>
                <w:color w:val="000000" w:themeColor="text1"/>
                <w:lang w:val="en-US"/>
              </w:rPr>
              <w:t>Which genres would suit the purpose of analysing?</w:t>
            </w:r>
          </w:p>
          <w:p w:rsidR="00170965" w:rsidRPr="00170965" w:rsidRDefault="00170965" w:rsidP="00170965">
            <w:pPr>
              <w:pStyle w:val="ListParagraph"/>
              <w:spacing w:after="0"/>
              <w:ind w:hanging="360"/>
              <w:rPr>
                <w:rFonts w:ascii="Calibri" w:hAnsi="Calibri"/>
                <w:color w:val="000000" w:themeColor="text1"/>
              </w:rPr>
            </w:pPr>
            <w:r w:rsidRPr="00170965">
              <w:rPr>
                <w:rFonts w:ascii="Calibri" w:hAnsi="Calibri"/>
                <w:color w:val="000000" w:themeColor="text1"/>
                <w:lang w:val="en-US"/>
              </w:rPr>
              <w:t>·</w:t>
            </w:r>
            <w:r w:rsidRPr="00170965">
              <w:rPr>
                <w:color w:val="000000" w:themeColor="text1"/>
                <w:sz w:val="14"/>
                <w:szCs w:val="14"/>
                <w:lang w:val="en-US"/>
              </w:rPr>
              <w:t>      </w:t>
            </w:r>
            <w:r w:rsidRPr="00170965">
              <w:rPr>
                <w:rStyle w:val="apple-converted-space"/>
                <w:color w:val="000000" w:themeColor="text1"/>
                <w:sz w:val="14"/>
                <w:szCs w:val="14"/>
                <w:lang w:val="en-US"/>
              </w:rPr>
              <w:t> </w:t>
            </w:r>
            <w:r w:rsidRPr="00170965">
              <w:rPr>
                <w:rFonts w:ascii="Calibri" w:hAnsi="Calibri"/>
                <w:color w:val="000000" w:themeColor="text1"/>
                <w:lang w:val="en-US"/>
              </w:rPr>
              <w:t>What are the patterns and conventions of these genres?</w:t>
            </w:r>
          </w:p>
          <w:p w:rsidR="00170965" w:rsidRPr="00170965" w:rsidRDefault="00170965" w:rsidP="00170965">
            <w:pPr>
              <w:rPr>
                <w:color w:val="000000" w:themeColor="text1"/>
              </w:rPr>
            </w:pPr>
            <w:r w:rsidRPr="00170965">
              <w:rPr>
                <w:color w:val="000000" w:themeColor="text1"/>
                <w:lang w:val="en-US"/>
              </w:rPr>
              <w:t> </w:t>
            </w:r>
          </w:p>
          <w:p w:rsidR="00170965" w:rsidRPr="00170965" w:rsidRDefault="00170965" w:rsidP="00170965">
            <w:pPr>
              <w:rPr>
                <w:color w:val="000000" w:themeColor="text1"/>
              </w:rPr>
            </w:pPr>
            <w:r w:rsidRPr="00170965">
              <w:rPr>
                <w:color w:val="000000" w:themeColor="text1"/>
                <w:lang w:val="en-US"/>
              </w:rPr>
              <w:t>Come along and</w:t>
            </w:r>
            <w:r w:rsidRPr="00170965">
              <w:rPr>
                <w:rStyle w:val="apple-converted-space"/>
                <w:color w:val="000000" w:themeColor="text1"/>
                <w:lang w:val="en-US"/>
              </w:rPr>
              <w:t> </w:t>
            </w:r>
            <w:r w:rsidRPr="00170965">
              <w:rPr>
                <w:color w:val="000000" w:themeColor="text1"/>
                <w:lang w:val="en-US"/>
              </w:rPr>
              <w:t>learn from the wisdom of your colleagues. This is an opportunity for us to collaboratively reflect on the practices we already use in our classrooms, and to refresh our practice by exploring innovative ways of writing.</w:t>
            </w:r>
            <w:r w:rsidRPr="00170965">
              <w:rPr>
                <w:rStyle w:val="apple-converted-space"/>
                <w:color w:val="000000" w:themeColor="text1"/>
                <w:lang w:val="en-US"/>
              </w:rPr>
              <w:t> </w:t>
            </w:r>
          </w:p>
          <w:p w:rsidR="00170965" w:rsidRPr="00A5700D" w:rsidRDefault="00170965" w:rsidP="00170965">
            <w:pPr>
              <w:rPr>
                <w:color w:val="000000" w:themeColor="text1"/>
              </w:rPr>
            </w:pPr>
          </w:p>
          <w:p w:rsidR="00C112A1" w:rsidRPr="00A5700D" w:rsidRDefault="00C112A1" w:rsidP="00170965">
            <w:pPr>
              <w:rPr>
                <w:color w:val="000000" w:themeColor="text1"/>
                <w:sz w:val="28"/>
                <w:szCs w:val="28"/>
              </w:rPr>
            </w:pPr>
            <w:r w:rsidRPr="00A5700D">
              <w:rPr>
                <w:color w:val="000000" w:themeColor="text1"/>
                <w:sz w:val="28"/>
                <w:szCs w:val="28"/>
                <w:lang w:val="en-US"/>
              </w:rPr>
              <w:t>Grace Loyden is Head of English at Townsville Grammar School and Treasurer of ETAQ Townsville Branch.</w:t>
            </w:r>
          </w:p>
          <w:p w:rsidR="00170965" w:rsidRPr="00170965" w:rsidRDefault="00170965" w:rsidP="00170965">
            <w:pPr>
              <w:rPr>
                <w:rFonts w:asciiTheme="majorHAnsi" w:hAnsiTheme="majorHAnsi"/>
                <w:sz w:val="18"/>
                <w:szCs w:val="18"/>
              </w:rPr>
            </w:pPr>
          </w:p>
        </w:tc>
      </w:tr>
      <w:tr w:rsidR="007D23B9">
        <w:tc>
          <w:tcPr>
            <w:tcW w:w="2836" w:type="dxa"/>
            <w:vAlign w:val="center"/>
          </w:tcPr>
          <w:p w:rsidR="007D23B9" w:rsidRPr="00170965" w:rsidRDefault="009674CC">
            <w:pPr>
              <w:spacing w:before="60" w:after="60"/>
              <w:rPr>
                <w:b/>
              </w:rPr>
            </w:pPr>
            <w:r w:rsidRPr="00170965">
              <w:rPr>
                <w:b/>
              </w:rPr>
              <w:t>Catering</w:t>
            </w:r>
          </w:p>
        </w:tc>
        <w:tc>
          <w:tcPr>
            <w:tcW w:w="7052" w:type="dxa"/>
          </w:tcPr>
          <w:p w:rsidR="007D23B9" w:rsidRPr="00170965" w:rsidRDefault="009674CC">
            <w:pPr>
              <w:spacing w:before="60" w:after="60"/>
            </w:pPr>
            <w:r w:rsidRPr="00170965">
              <w:t>Good Morning Coffee</w:t>
            </w:r>
            <w:r w:rsidR="00192CBD" w:rsidRPr="00170965">
              <w:t xml:space="preserve"> Trader will be available from 8</w:t>
            </w:r>
            <w:r w:rsidRPr="00170965">
              <w:t xml:space="preserve">.30am. </w:t>
            </w:r>
          </w:p>
        </w:tc>
      </w:tr>
      <w:tr w:rsidR="007D23B9">
        <w:tc>
          <w:tcPr>
            <w:tcW w:w="2836" w:type="dxa"/>
            <w:vAlign w:val="center"/>
          </w:tcPr>
          <w:p w:rsidR="007D23B9" w:rsidRPr="00170965" w:rsidRDefault="009674CC">
            <w:pPr>
              <w:spacing w:before="60" w:after="60"/>
              <w:rPr>
                <w:b/>
              </w:rPr>
            </w:pPr>
            <w:r w:rsidRPr="00170965">
              <w:rPr>
                <w:b/>
              </w:rPr>
              <w:t>Cost</w:t>
            </w:r>
          </w:p>
        </w:tc>
        <w:tc>
          <w:tcPr>
            <w:tcW w:w="7052" w:type="dxa"/>
          </w:tcPr>
          <w:p w:rsidR="007D23B9" w:rsidRPr="00170965" w:rsidRDefault="00C56B66">
            <w:pPr>
              <w:spacing w:before="60" w:after="60"/>
            </w:pPr>
            <w:r>
              <w:t>$20.00 Pay via the website.</w:t>
            </w:r>
          </w:p>
        </w:tc>
      </w:tr>
      <w:tr w:rsidR="007D23B9">
        <w:tc>
          <w:tcPr>
            <w:tcW w:w="2836" w:type="dxa"/>
            <w:vAlign w:val="center"/>
          </w:tcPr>
          <w:p w:rsidR="007D23B9" w:rsidRPr="00170965" w:rsidRDefault="009674CC">
            <w:pPr>
              <w:spacing w:before="60" w:after="60"/>
              <w:rPr>
                <w:b/>
              </w:rPr>
            </w:pPr>
            <w:r w:rsidRPr="00170965">
              <w:rPr>
                <w:b/>
              </w:rPr>
              <w:t>Duration</w:t>
            </w:r>
          </w:p>
        </w:tc>
        <w:tc>
          <w:tcPr>
            <w:tcW w:w="7052" w:type="dxa"/>
          </w:tcPr>
          <w:p w:rsidR="007D23B9" w:rsidRPr="00170965" w:rsidRDefault="009674CC">
            <w:pPr>
              <w:spacing w:before="60" w:after="60"/>
            </w:pPr>
            <w:r w:rsidRPr="00170965">
              <w:t xml:space="preserve">Certificates will be issued for </w:t>
            </w:r>
            <w:proofErr w:type="gramStart"/>
            <w:r w:rsidR="00BE741B" w:rsidRPr="00170965">
              <w:rPr>
                <w:b/>
              </w:rPr>
              <w:t xml:space="preserve">3 </w:t>
            </w:r>
            <w:r w:rsidRPr="00170965">
              <w:rPr>
                <w:b/>
              </w:rPr>
              <w:t xml:space="preserve"> hours</w:t>
            </w:r>
            <w:proofErr w:type="gramEnd"/>
            <w:r w:rsidRPr="00170965">
              <w:t xml:space="preserve"> of CPD.</w:t>
            </w:r>
          </w:p>
        </w:tc>
      </w:tr>
      <w:tr w:rsidR="007D23B9">
        <w:tc>
          <w:tcPr>
            <w:tcW w:w="2836" w:type="dxa"/>
            <w:vAlign w:val="center"/>
          </w:tcPr>
          <w:p w:rsidR="007D23B9" w:rsidRPr="00170965" w:rsidRDefault="009674CC">
            <w:pPr>
              <w:spacing w:before="60" w:after="60"/>
              <w:rPr>
                <w:b/>
              </w:rPr>
            </w:pPr>
            <w:r w:rsidRPr="00170965">
              <w:rPr>
                <w:b/>
              </w:rPr>
              <w:t>Registration</w:t>
            </w:r>
          </w:p>
        </w:tc>
        <w:tc>
          <w:tcPr>
            <w:tcW w:w="7052" w:type="dxa"/>
          </w:tcPr>
          <w:p w:rsidR="007D23B9" w:rsidRPr="00170965" w:rsidRDefault="00BB787E">
            <w:pPr>
              <w:spacing w:before="60" w:after="60"/>
            </w:pPr>
            <w:r w:rsidRPr="00170965">
              <w:t>Register with Heather @</w:t>
            </w:r>
            <w:proofErr w:type="gramStart"/>
            <w:r w:rsidRPr="00170965">
              <w:t>chandlergroup.com.au  and</w:t>
            </w:r>
            <w:proofErr w:type="gramEnd"/>
            <w:r w:rsidRPr="00170965">
              <w:t xml:space="preserve"> </w:t>
            </w:r>
            <w:r w:rsidR="009674CC" w:rsidRPr="00170965">
              <w:t xml:space="preserve">the ETAQ website at </w:t>
            </w:r>
            <w:hyperlink r:id="rId6">
              <w:r w:rsidR="009674CC" w:rsidRPr="00170965">
                <w:rPr>
                  <w:color w:val="0000FF"/>
                  <w:u w:val="single"/>
                </w:rPr>
                <w:t>http://www.etaq.org.au/</w:t>
              </w:r>
            </w:hyperlink>
            <w:r w:rsidR="00C56B66">
              <w:rPr>
                <w:color w:val="0000FF"/>
                <w:u w:val="single"/>
              </w:rPr>
              <w:t xml:space="preserve"> </w:t>
            </w:r>
          </w:p>
        </w:tc>
      </w:tr>
    </w:tbl>
    <w:p w:rsidR="007D23B9" w:rsidRDefault="007D23B9">
      <w:pPr>
        <w:rPr>
          <w:sz w:val="20"/>
          <w:szCs w:val="20"/>
        </w:rPr>
      </w:pPr>
    </w:p>
    <w:sectPr w:rsidR="007D23B9">
      <w:pgSz w:w="11906" w:h="16838"/>
      <w:pgMar w:top="1247"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A1CA1"/>
    <w:multiLevelType w:val="hybridMultilevel"/>
    <w:tmpl w:val="2C44BB6C"/>
    <w:lvl w:ilvl="0" w:tplc="091CF7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B9"/>
    <w:rsid w:val="00053B3B"/>
    <w:rsid w:val="000A4ED7"/>
    <w:rsid w:val="00170965"/>
    <w:rsid w:val="00192CBD"/>
    <w:rsid w:val="0025092A"/>
    <w:rsid w:val="004311BF"/>
    <w:rsid w:val="004644A4"/>
    <w:rsid w:val="004D7A92"/>
    <w:rsid w:val="004F47BE"/>
    <w:rsid w:val="00794355"/>
    <w:rsid w:val="007D23B9"/>
    <w:rsid w:val="00904699"/>
    <w:rsid w:val="009674CC"/>
    <w:rsid w:val="00A5700D"/>
    <w:rsid w:val="00A708BB"/>
    <w:rsid w:val="00A727A5"/>
    <w:rsid w:val="00AB5F67"/>
    <w:rsid w:val="00AD1768"/>
    <w:rsid w:val="00BB787E"/>
    <w:rsid w:val="00BE2F20"/>
    <w:rsid w:val="00BE741B"/>
    <w:rsid w:val="00C112A1"/>
    <w:rsid w:val="00C1794B"/>
    <w:rsid w:val="00C35395"/>
    <w:rsid w:val="00C35DED"/>
    <w:rsid w:val="00C56B66"/>
    <w:rsid w:val="00CA75F5"/>
    <w:rsid w:val="00CD4D34"/>
    <w:rsid w:val="00D84482"/>
    <w:rsid w:val="00DC0C1E"/>
    <w:rsid w:val="00E13978"/>
    <w:rsid w:val="00E50AEA"/>
    <w:rsid w:val="00EB4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184D-F9D6-FD46-AB1D-1E48A128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A4ED7"/>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DefaultParagraphFont"/>
    <w:rsid w:val="00170965"/>
  </w:style>
  <w:style w:type="paragraph" w:styleId="BalloonText">
    <w:name w:val="Balloon Text"/>
    <w:basedOn w:val="Normal"/>
    <w:link w:val="BalloonTextChar"/>
    <w:uiPriority w:val="99"/>
    <w:semiHidden/>
    <w:unhideWhenUsed/>
    <w:rsid w:val="004D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8782">
      <w:bodyDiv w:val="1"/>
      <w:marLeft w:val="0"/>
      <w:marRight w:val="0"/>
      <w:marTop w:val="0"/>
      <w:marBottom w:val="0"/>
      <w:divBdr>
        <w:top w:val="none" w:sz="0" w:space="0" w:color="auto"/>
        <w:left w:val="none" w:sz="0" w:space="0" w:color="auto"/>
        <w:bottom w:val="none" w:sz="0" w:space="0" w:color="auto"/>
        <w:right w:val="none" w:sz="0" w:space="0" w:color="auto"/>
      </w:divBdr>
    </w:div>
    <w:div w:id="125987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q.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Purcell</cp:lastModifiedBy>
  <cp:revision>2</cp:revision>
  <cp:lastPrinted>2018-05-14T11:15:00Z</cp:lastPrinted>
  <dcterms:created xsi:type="dcterms:W3CDTF">2018-05-14T11:16:00Z</dcterms:created>
  <dcterms:modified xsi:type="dcterms:W3CDTF">2018-05-14T11:16:00Z</dcterms:modified>
</cp:coreProperties>
</file>